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E5" w:rsidRDefault="009A12E5">
      <w:pPr>
        <w:pStyle w:val="ConsPlusTitle"/>
        <w:ind w:firstLine="540"/>
        <w:jc w:val="both"/>
        <w:outlineLvl w:val="0"/>
      </w:pPr>
      <w:r>
        <w:t xml:space="preserve">Статья 34. </w:t>
      </w:r>
      <w:bookmarkStart w:id="0" w:name="_GoBack"/>
      <w:r>
        <w:t>Полномочия председателя Совета округа</w:t>
      </w:r>
      <w:bookmarkEnd w:id="0"/>
    </w:p>
    <w:p w:rsidR="009A12E5" w:rsidRDefault="009A12E5">
      <w:pPr>
        <w:pStyle w:val="ConsPlusNormal"/>
      </w:pPr>
    </w:p>
    <w:p w:rsidR="009A12E5" w:rsidRDefault="009A12E5">
      <w:pPr>
        <w:pStyle w:val="ConsPlusNormal"/>
        <w:ind w:firstLine="540"/>
        <w:jc w:val="both"/>
      </w:pPr>
      <w:r>
        <w:t>1. Председатель Совета городского округа: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1) представляет Совет городского округа в отношениях с органами государственной власти и органами местного самоуправления, предприятиями, учреждениями, организациями, с территориальным общественным самоуправлением, жителями городского округа, без доверенности действует от имени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2) подписывает решения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3) издает постановления и распоряжения по вопросам организации деятельности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4) вносит предложения о созыве внеочередного заседания Совета городского округа.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2. Компетенция председателя Совета городского округа: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 xml:space="preserve">1) в соответствии с федеральным законодательством и законами Республики Коми отменяет или приостанавливает действие правовых актов, принятых его заместителем при временном исполнении полномочий в период отсутствия председателя Совета городского округа, если они противоречат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законодательству, законам Республики Коми, настоящему Уставу, а также решениям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2) организует проверку и контроль деятельности администрации городского округа в соответствии с федеральным законодательством, законами Республики Коми и настоящим Уставом;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3) обладает правом внесения в органы местного самоуправления городского округа проектов муниципальных правовых актов;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4) обеспечивает гласность и учет общественного мнения в деятельности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5) организует и осуществляет прием граждан, рассмотрение их обращений, предложений, заявлений и жалоб;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 xml:space="preserve">6) ежегодно </w:t>
      </w:r>
      <w:proofErr w:type="gramStart"/>
      <w:r>
        <w:t>отчитывается о</w:t>
      </w:r>
      <w:proofErr w:type="gramEnd"/>
      <w:r>
        <w:t xml:space="preserve"> своей деятельности перед населением городского округа и Советом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7) заключает и расторгает по основаниям, предусмотренным законодательством, контра</w:t>
      </w:r>
      <w:proofErr w:type="gramStart"/>
      <w:r>
        <w:t>кт с пр</w:t>
      </w:r>
      <w:proofErr w:type="gramEnd"/>
      <w:r>
        <w:t>едседателем Контрольно-счетной палаты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8) принимает меры по обеспечению и защите интересов Совета городского округа в судебных органах, от имени Совета городского округа подписывает заявления, жалобы и обращения;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 xml:space="preserve">9) организует деятельность Совета городского округа в соответствии с </w:t>
      </w:r>
      <w:hyperlink r:id="rId6">
        <w:r>
          <w:rPr>
            <w:color w:val="0000FF"/>
          </w:rPr>
          <w:t>Регламентом</w:t>
        </w:r>
      </w:hyperlink>
      <w:r>
        <w:t xml:space="preserve"> и другими решениями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10) председательствует на заседаниях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11) руководит подготовкой вопросов, вносимых на рассмотрение Совета городского округа, формирует повестку дня заседания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12) организует процесс подготовки и принятия решений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lastRenderedPageBreak/>
        <w:t>13) осуществляет созыв, подготовку и проведение заседаний Совета городского округа, а также иных форм деятельности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14) подписывает протокол заседания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15) оказывает содействие депутатам Совета городского округа в осуществлении ими своих полномочий;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16) координирует деятельность комиссий Совета городского округа;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17) принимает меры по информированию жителей городского округа о работе Совета городского округа и учету общественного мнения;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18) в соответствии с расходами, предусмотренными в местном бюджете на содержание Совета городского округа, утверждает штатное расписание, осуществляет подписание контрактов, назначение на должность и освобождение от должности лиц, исполняющих свои обязанности в Совете городского округа на постоянной основе;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19) осуществляет функции распорядителя бюджетных сре</w:t>
      </w:r>
      <w:proofErr w:type="gramStart"/>
      <w:r>
        <w:t>дств пр</w:t>
      </w:r>
      <w:proofErr w:type="gramEnd"/>
      <w:r>
        <w:t>и утверждении и исполнении местного бюджета в соответствии с федеральным бюджетным законодательством по расходам, связанным с деятельностью депутатов Совета городского округа; открывает и закрывает расчетные счета Совета городского округа в банках, распоряжается финансовыми средствами Совета городского округа в пределах своей компетенции;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20) выступает стороной в договорах, соглашениях, иных актах, заключаемых с предприятиями, учреждениями и организациями от имени Совета городского округа.</w:t>
      </w:r>
    </w:p>
    <w:p w:rsidR="009A12E5" w:rsidRDefault="009A12E5">
      <w:pPr>
        <w:pStyle w:val="ConsPlusNormal"/>
        <w:spacing w:before="220"/>
        <w:ind w:firstLine="540"/>
        <w:jc w:val="both"/>
      </w:pPr>
      <w:r>
        <w:t>3. Председатель Совета городского округа обладает иными полномочиями, отнесенными к его компетенции федеральным законодательством, законами Республики Коми, настоящим Уставом, муниципальными правовыми актами МОГО "Ухта".</w:t>
      </w:r>
    </w:p>
    <w:p w:rsidR="009A12E5" w:rsidRDefault="009A12E5" w:rsidP="009A12E5">
      <w:pPr>
        <w:pStyle w:val="ConsPlusNormal"/>
      </w:pPr>
      <w:hyperlink r:id="rId7">
        <w:r>
          <w:rPr>
            <w:i/>
            <w:color w:val="0000FF"/>
          </w:rPr>
          <w:br/>
          <w:t xml:space="preserve">ст. 34, "Устав муниципального образования городского округа "Ухта" (принят решением Совета МО "Город Ухта" от 27.12.2005 N 14) (ред. от 21.12.2022) (Зарегистрировано в отделе международной правовой помощи, юридической экспертизы и федерального регистра нормативных правовых актов Республики Коми ГУ Минюста России по Северо-Западному федеральному округу 29.12.2005 N RU113050002005001) </w:t>
        </w:r>
      </w:hyperlink>
      <w:r>
        <w:br/>
      </w:r>
    </w:p>
    <w:p w:rsidR="009A12E5" w:rsidRDefault="009A12E5">
      <w:pPr>
        <w:pStyle w:val="ConsPlusNormal"/>
        <w:spacing w:before="220"/>
        <w:ind w:firstLine="540"/>
        <w:jc w:val="both"/>
      </w:pPr>
    </w:p>
    <w:p w:rsidR="0025187B" w:rsidRDefault="0025187B"/>
    <w:sectPr w:rsidR="0025187B" w:rsidSect="00B1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E5"/>
    <w:rsid w:val="0025187B"/>
    <w:rsid w:val="009A12E5"/>
    <w:rsid w:val="00D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2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12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2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12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4216ADEFD40A6553E0E2B7A912756A35098234F2036624F5E8F451413E17394AEE916E9320EA473718B124827B27E4C32CE94BF4B0ABC38852419w64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74216ADEFD40A6553E0E2B7A912756A35098234C293A6349588F451413E17394AEE916E9320EA47370891A4027B27E4C32CE94BF4B0ABC38852419w643I" TargetMode="External"/><Relationship Id="rId5" Type="http://schemas.openxmlformats.org/officeDocument/2006/relationships/hyperlink" Target="consultantplus://offline/ref=E174216ADEFD40A6553E10266CFD7952A753C12B46776E35405E87174313BD36C2A7E244B47600BB71708Bw148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2023-03-06T08:56:00Z</dcterms:created>
  <dcterms:modified xsi:type="dcterms:W3CDTF">2023-03-06T08:57:00Z</dcterms:modified>
</cp:coreProperties>
</file>